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092C2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A5AF14B" w14:textId="77777777" w:rsidR="000F6E51" w:rsidRPr="000011C1" w:rsidRDefault="001E2C65">
      <w:pPr>
        <w:rPr>
          <w:rFonts w:ascii="Arial" w:hAnsi="Arial" w:cs="Arial"/>
          <w:b/>
          <w:sz w:val="28"/>
          <w:szCs w:val="28"/>
        </w:rPr>
      </w:pPr>
      <w:r w:rsidRPr="008C7CB8">
        <w:rPr>
          <w:rFonts w:ascii="Arial" w:hAnsi="Arial" w:cs="Arial"/>
          <w:b/>
          <w:sz w:val="28"/>
          <w:szCs w:val="28"/>
        </w:rPr>
        <w:t>S</w:t>
      </w:r>
      <w:r w:rsidR="00720BC1">
        <w:rPr>
          <w:rFonts w:ascii="Arial" w:hAnsi="Arial" w:cs="Arial"/>
          <w:b/>
          <w:sz w:val="28"/>
          <w:szCs w:val="28"/>
        </w:rPr>
        <w:t>P</w:t>
      </w:r>
      <w:r w:rsidR="002E7F74">
        <w:rPr>
          <w:rFonts w:ascii="Arial" w:hAnsi="Arial" w:cs="Arial"/>
          <w:b/>
          <w:sz w:val="28"/>
          <w:szCs w:val="28"/>
        </w:rPr>
        <w:t>ERC fact</w:t>
      </w:r>
      <w:r w:rsidRPr="008C7CB8">
        <w:rPr>
          <w:rFonts w:ascii="Arial" w:hAnsi="Arial" w:cs="Arial"/>
          <w:b/>
          <w:sz w:val="28"/>
          <w:szCs w:val="28"/>
        </w:rPr>
        <w:t xml:space="preserve">sheet – </w:t>
      </w:r>
      <w:r w:rsidR="000011C1" w:rsidRPr="000011C1">
        <w:rPr>
          <w:rFonts w:ascii="Arial" w:hAnsi="Arial" w:cs="Arial"/>
          <w:b/>
          <w:i/>
          <w:sz w:val="28"/>
          <w:szCs w:val="28"/>
        </w:rPr>
        <w:t>Functional Fluids</w:t>
      </w:r>
      <w:r w:rsidR="002E7F74" w:rsidRPr="000011C1">
        <w:rPr>
          <w:rFonts w:ascii="Arial" w:hAnsi="Arial" w:cs="Arial"/>
          <w:b/>
          <w:i/>
          <w:sz w:val="28"/>
          <w:szCs w:val="28"/>
        </w:rPr>
        <w:t xml:space="preserve"> – Wide dispersive use</w:t>
      </w:r>
      <w:r w:rsidRPr="000011C1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0DE7BBC4" w14:textId="77777777" w:rsidR="001E2C65" w:rsidRPr="000011C1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8626"/>
      </w:tblGrid>
      <w:tr w:rsidR="001E2C65" w:rsidRPr="000011C1" w14:paraId="3E303578" w14:textId="77777777" w:rsidTr="00E131B9">
        <w:tc>
          <w:tcPr>
            <w:tcW w:w="13176" w:type="dxa"/>
            <w:gridSpan w:val="2"/>
            <w:shd w:val="clear" w:color="auto" w:fill="F3F3F3"/>
          </w:tcPr>
          <w:p w14:paraId="0E1B08E0" w14:textId="77777777" w:rsidR="001E2C65" w:rsidRPr="00E131B9" w:rsidRDefault="001E2C6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:rsidRPr="000011C1" w14:paraId="5B1E732D" w14:textId="77777777" w:rsidTr="00E131B9">
        <w:tc>
          <w:tcPr>
            <w:tcW w:w="2628" w:type="dxa"/>
            <w:tcBorders>
              <w:bottom w:val="single" w:sz="4" w:space="0" w:color="auto"/>
            </w:tcBorders>
          </w:tcPr>
          <w:p w14:paraId="5A8009FE" w14:textId="77777777" w:rsidR="001E2C65" w:rsidRPr="00E131B9" w:rsidRDefault="001E2C6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7D0C4776" w14:textId="77777777" w:rsidR="001E2C65" w:rsidRPr="00E131B9" w:rsidRDefault="000011C1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Functional Fluids</w:t>
            </w:r>
            <w:r w:rsidR="00AC1135" w:rsidRPr="00E131B9">
              <w:rPr>
                <w:rFonts w:ascii="Arial" w:hAnsi="Arial" w:cs="Arial"/>
              </w:rPr>
              <w:t xml:space="preserve"> (</w:t>
            </w:r>
            <w:r w:rsidR="002E7F74" w:rsidRPr="00E131B9">
              <w:rPr>
                <w:rFonts w:ascii="Arial" w:hAnsi="Arial" w:cs="Arial"/>
              </w:rPr>
              <w:t>wide dispersive use</w:t>
            </w:r>
            <w:r w:rsidR="00AC1135" w:rsidRPr="00E131B9">
              <w:rPr>
                <w:rFonts w:ascii="Arial" w:hAnsi="Arial" w:cs="Arial"/>
              </w:rPr>
              <w:t>):</w:t>
            </w:r>
            <w:r w:rsidR="003117D5" w:rsidRPr="00E131B9">
              <w:rPr>
                <w:rFonts w:ascii="Arial" w:hAnsi="Arial" w:cs="Arial"/>
              </w:rPr>
              <w:t xml:space="preserve"> </w:t>
            </w:r>
            <w:r w:rsidR="00AC1135" w:rsidRPr="00E131B9">
              <w:rPr>
                <w:rFonts w:ascii="Arial" w:hAnsi="Arial" w:cs="Arial"/>
              </w:rPr>
              <w:t>s</w:t>
            </w:r>
            <w:r w:rsidR="00D8290D" w:rsidRPr="00E131B9">
              <w:rPr>
                <w:rFonts w:ascii="Arial" w:hAnsi="Arial" w:cs="Arial"/>
              </w:rPr>
              <w:t>olvent-borne</w:t>
            </w:r>
            <w:r w:rsidR="00AC1135" w:rsidRPr="00E131B9">
              <w:rPr>
                <w:rFonts w:ascii="Arial" w:hAnsi="Arial" w:cs="Arial"/>
              </w:rPr>
              <w:t xml:space="preserve"> </w:t>
            </w:r>
          </w:p>
        </w:tc>
      </w:tr>
      <w:tr w:rsidR="001E2C65" w:rsidRPr="000011C1" w14:paraId="20D34531" w14:textId="77777777" w:rsidTr="00E131B9">
        <w:tc>
          <w:tcPr>
            <w:tcW w:w="2628" w:type="dxa"/>
          </w:tcPr>
          <w:p w14:paraId="3A35622F" w14:textId="77777777" w:rsidR="001E2C65" w:rsidRPr="00E131B9" w:rsidRDefault="00AC113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Applicable</w:t>
            </w:r>
            <w:r w:rsidR="001E2C65" w:rsidRPr="00E131B9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2D0480F0" w14:textId="77777777" w:rsidR="001E2C65" w:rsidRPr="00E131B9" w:rsidRDefault="000011C1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9</w:t>
            </w:r>
            <w:r w:rsidR="002E7F74" w:rsidRPr="00E131B9">
              <w:rPr>
                <w:rFonts w:ascii="Arial" w:hAnsi="Arial" w:cs="Arial"/>
              </w:rPr>
              <w:t>a</w:t>
            </w:r>
            <w:r w:rsidR="00B46890" w:rsidRPr="00E131B9">
              <w:rPr>
                <w:rFonts w:ascii="Arial" w:hAnsi="Arial" w:cs="Arial"/>
              </w:rPr>
              <w:t xml:space="preserve"> – </w:t>
            </w:r>
            <w:r w:rsidR="00ED4F39" w:rsidRPr="00E131B9">
              <w:rPr>
                <w:rFonts w:ascii="Arial" w:hAnsi="Arial" w:cs="Arial"/>
              </w:rPr>
              <w:t xml:space="preserve">Wide dispersive indoor use </w:t>
            </w:r>
            <w:r w:rsidRPr="00E131B9">
              <w:rPr>
                <w:rFonts w:ascii="Arial" w:hAnsi="Arial" w:cs="Arial"/>
              </w:rPr>
              <w:t>in closed systems; 9b</w:t>
            </w:r>
            <w:r w:rsidR="002E7F74" w:rsidRPr="00E131B9">
              <w:rPr>
                <w:rFonts w:ascii="Arial" w:hAnsi="Arial" w:cs="Arial"/>
              </w:rPr>
              <w:t xml:space="preserve"> – </w:t>
            </w:r>
            <w:r w:rsidR="00ED4F39" w:rsidRPr="00E131B9">
              <w:rPr>
                <w:rFonts w:ascii="Arial" w:hAnsi="Arial" w:cs="Arial"/>
              </w:rPr>
              <w:t xml:space="preserve">Wide dispersive outdoor use </w:t>
            </w:r>
            <w:r w:rsidRPr="00E131B9">
              <w:rPr>
                <w:rFonts w:ascii="Arial" w:hAnsi="Arial" w:cs="Arial"/>
              </w:rPr>
              <w:t>in closed systems</w:t>
            </w:r>
          </w:p>
        </w:tc>
      </w:tr>
      <w:tr w:rsidR="006242E5" w:rsidRPr="000011C1" w14:paraId="2546C8B4" w14:textId="77777777" w:rsidTr="00E131B9">
        <w:tc>
          <w:tcPr>
            <w:tcW w:w="2628" w:type="dxa"/>
          </w:tcPr>
          <w:p w14:paraId="64121FA5" w14:textId="77777777" w:rsidR="006242E5" w:rsidRPr="00E131B9" w:rsidRDefault="006242E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2654FBA6" w14:textId="77777777" w:rsidR="006242E5" w:rsidRPr="00E131B9" w:rsidRDefault="006242E5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ESIG/ESVOC</w:t>
            </w:r>
          </w:p>
        </w:tc>
      </w:tr>
      <w:tr w:rsidR="006242E5" w:rsidRPr="000011C1" w14:paraId="48200986" w14:textId="77777777" w:rsidTr="00E131B9">
        <w:tc>
          <w:tcPr>
            <w:tcW w:w="2628" w:type="dxa"/>
          </w:tcPr>
          <w:p w14:paraId="278E5A1D" w14:textId="77777777" w:rsidR="006242E5" w:rsidRPr="00E131B9" w:rsidRDefault="006242E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1B23D145" w14:textId="77777777" w:rsidR="006242E5" w:rsidRPr="00E131B9" w:rsidRDefault="006242E5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V1</w:t>
            </w:r>
          </w:p>
        </w:tc>
      </w:tr>
      <w:tr w:rsidR="006242E5" w14:paraId="54B03CBC" w14:textId="77777777" w:rsidTr="00E131B9">
        <w:tc>
          <w:tcPr>
            <w:tcW w:w="2628" w:type="dxa"/>
          </w:tcPr>
          <w:p w14:paraId="101A4222" w14:textId="77777777" w:rsidR="006242E5" w:rsidRPr="00E131B9" w:rsidRDefault="006242E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5A67CDC5" w14:textId="77777777" w:rsidR="006242E5" w:rsidRPr="00E131B9" w:rsidRDefault="006242E5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 xml:space="preserve">ESVOC </w:t>
            </w:r>
            <w:r w:rsidR="000011C1" w:rsidRPr="00E131B9">
              <w:rPr>
                <w:rFonts w:ascii="Arial" w:hAnsi="Arial" w:cs="Arial"/>
              </w:rPr>
              <w:t>9</w:t>
            </w:r>
            <w:r w:rsidR="00C23DBA" w:rsidRPr="00E131B9">
              <w:rPr>
                <w:rFonts w:ascii="Arial" w:hAnsi="Arial" w:cs="Arial"/>
              </w:rPr>
              <w:t>.</w:t>
            </w:r>
            <w:r w:rsidR="000011C1" w:rsidRPr="00E131B9">
              <w:rPr>
                <w:rFonts w:ascii="Arial" w:hAnsi="Arial" w:cs="Arial"/>
              </w:rPr>
              <w:t>1</w:t>
            </w:r>
            <w:r w:rsidR="002E7F74" w:rsidRPr="00E131B9">
              <w:rPr>
                <w:rFonts w:ascii="Arial" w:hAnsi="Arial" w:cs="Arial"/>
              </w:rPr>
              <w:t>3b</w:t>
            </w:r>
            <w:r w:rsidR="00C23DBA" w:rsidRPr="00E131B9">
              <w:rPr>
                <w:rFonts w:ascii="Arial" w:hAnsi="Arial" w:cs="Arial"/>
              </w:rPr>
              <w:t>.v1</w:t>
            </w:r>
          </w:p>
          <w:p w14:paraId="5B4DD9FA" w14:textId="77777777" w:rsidR="002E7F74" w:rsidRPr="00E131B9" w:rsidRDefault="002E7F74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 xml:space="preserve">ESVOC </w:t>
            </w:r>
            <w:r w:rsidR="000011C1" w:rsidRPr="00E131B9">
              <w:rPr>
                <w:rFonts w:ascii="Arial" w:hAnsi="Arial" w:cs="Arial"/>
              </w:rPr>
              <w:t>9</w:t>
            </w:r>
            <w:r w:rsidRPr="00E131B9">
              <w:rPr>
                <w:rFonts w:ascii="Arial" w:hAnsi="Arial" w:cs="Arial"/>
              </w:rPr>
              <w:t>.</w:t>
            </w:r>
            <w:r w:rsidR="000011C1" w:rsidRPr="00E131B9">
              <w:rPr>
                <w:rFonts w:ascii="Arial" w:hAnsi="Arial" w:cs="Arial"/>
              </w:rPr>
              <w:t>1</w:t>
            </w:r>
            <w:r w:rsidRPr="00E131B9">
              <w:rPr>
                <w:rFonts w:ascii="Arial" w:hAnsi="Arial" w:cs="Arial"/>
              </w:rPr>
              <w:t>3c.v1</w:t>
            </w:r>
          </w:p>
        </w:tc>
      </w:tr>
      <w:tr w:rsidR="001E2C65" w14:paraId="478AB307" w14:textId="77777777" w:rsidTr="00E131B9">
        <w:tc>
          <w:tcPr>
            <w:tcW w:w="2628" w:type="dxa"/>
          </w:tcPr>
          <w:p w14:paraId="0816EE3D" w14:textId="77777777" w:rsidR="001E2C65" w:rsidRPr="00E131B9" w:rsidRDefault="001E2C6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72BE49E3" w14:textId="77777777" w:rsidR="001E2C65" w:rsidRPr="00E131B9" w:rsidRDefault="00CF797E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 xml:space="preserve">Use as functional fluids e.g. cable oils, transfer oils, coolants, insulators, refrigerants, </w:t>
            </w:r>
            <w:proofErr w:type="gramStart"/>
            <w:r w:rsidRPr="00E131B9">
              <w:rPr>
                <w:rFonts w:ascii="Arial" w:hAnsi="Arial" w:cs="Arial"/>
              </w:rPr>
              <w:t>hydraulic</w:t>
            </w:r>
            <w:proofErr w:type="gramEnd"/>
            <w:r w:rsidRPr="00E131B9">
              <w:rPr>
                <w:rFonts w:ascii="Arial" w:hAnsi="Arial" w:cs="Arial"/>
              </w:rPr>
              <w:t xml:space="preserve"> fluids in professional equipment including maintenance and related material transfers and use of similar sealed items containing functional fluids for consumers</w:t>
            </w:r>
            <w:r w:rsidR="000D1C0F" w:rsidRPr="00E131B9">
              <w:rPr>
                <w:rFonts w:ascii="Arial" w:hAnsi="Arial" w:cs="Arial"/>
              </w:rPr>
              <w:t>.</w:t>
            </w:r>
          </w:p>
          <w:p w14:paraId="09257E5B" w14:textId="77777777" w:rsidR="009C07D1" w:rsidRPr="00E131B9" w:rsidRDefault="009C07D1">
            <w:pPr>
              <w:rPr>
                <w:rFonts w:ascii="Arial" w:hAnsi="Arial" w:cs="Arial"/>
              </w:rPr>
            </w:pPr>
          </w:p>
          <w:p w14:paraId="7E6D2A51" w14:textId="77777777" w:rsidR="00451B37" w:rsidRPr="00E131B9" w:rsidRDefault="00301E0F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  <w:i/>
              </w:rPr>
              <w:t>Substance Domain</w:t>
            </w:r>
            <w:r w:rsidR="000D1C0F" w:rsidRPr="00E131B9">
              <w:rPr>
                <w:rFonts w:ascii="Arial" w:hAnsi="Arial" w:cs="Arial"/>
              </w:rPr>
              <w:t>: Ap</w:t>
            </w:r>
            <w:r w:rsidRPr="00E131B9">
              <w:rPr>
                <w:rFonts w:ascii="Arial" w:hAnsi="Arial" w:cs="Arial"/>
              </w:rPr>
              <w:t>plicable to petroleum substances</w:t>
            </w:r>
            <w:r w:rsidR="0052022A" w:rsidRPr="00E131B9">
              <w:rPr>
                <w:rFonts w:ascii="Arial" w:hAnsi="Arial" w:cs="Arial"/>
              </w:rPr>
              <w:t xml:space="preserve"> (e.g.</w:t>
            </w:r>
            <w:r w:rsidR="009C07D1" w:rsidRPr="00E131B9">
              <w:rPr>
                <w:rFonts w:ascii="Arial" w:hAnsi="Arial" w:cs="Arial"/>
              </w:rPr>
              <w:t>, aliphatic and aromatic hydrocarbons)</w:t>
            </w:r>
            <w:r w:rsidRPr="00E131B9">
              <w:rPr>
                <w:rFonts w:ascii="Arial" w:hAnsi="Arial" w:cs="Arial"/>
              </w:rPr>
              <w:t xml:space="preserve"> and petrochemicals</w:t>
            </w:r>
            <w:r w:rsidR="0052022A" w:rsidRPr="00E131B9">
              <w:rPr>
                <w:rFonts w:ascii="Arial" w:hAnsi="Arial" w:cs="Arial"/>
              </w:rPr>
              <w:t xml:space="preserve"> (e.g</w:t>
            </w:r>
            <w:r w:rsidR="009C07D1" w:rsidRPr="00E131B9">
              <w:rPr>
                <w:rFonts w:ascii="Arial" w:hAnsi="Arial" w:cs="Arial"/>
              </w:rPr>
              <w:t>., ketones, alcohols, acetates, glycols, glycol ethers, and glycol ether acetates)</w:t>
            </w:r>
            <w:r w:rsidRPr="00E131B9">
              <w:rPr>
                <w:rFonts w:ascii="Arial" w:hAnsi="Arial" w:cs="Arial"/>
              </w:rPr>
              <w:t>.</w:t>
            </w:r>
          </w:p>
          <w:p w14:paraId="3CFD6DA5" w14:textId="77777777" w:rsidR="00E131B9" w:rsidRPr="00E131B9" w:rsidRDefault="00E131B9">
            <w:pPr>
              <w:rPr>
                <w:rFonts w:ascii="Arial" w:hAnsi="Arial" w:cs="Arial"/>
              </w:rPr>
            </w:pPr>
          </w:p>
          <w:p w14:paraId="61643578" w14:textId="77777777" w:rsidR="00E131B9" w:rsidRPr="00CD78E2" w:rsidRDefault="00E6589B" w:rsidP="00E131B9">
            <w:pPr>
              <w:keepNext/>
              <w:spacing w:before="240" w:after="60"/>
              <w:rPr>
                <w:rFonts w:ascii="Arial" w:hAnsi="Arial" w:cs="Arial"/>
                <w:u w:val="single"/>
              </w:rPr>
            </w:pPr>
            <w:r w:rsidRPr="00CD78E2">
              <w:rPr>
                <w:rFonts w:ascii="Arial" w:hAnsi="Arial" w:cs="Arial"/>
                <w:i/>
                <w:u w:val="single"/>
              </w:rPr>
              <w:t>Size of installation</w:t>
            </w:r>
            <w:r w:rsidRPr="00CD78E2">
              <w:rPr>
                <w:rFonts w:ascii="Arial" w:hAnsi="Arial" w:cs="Arial"/>
                <w:u w:val="single"/>
              </w:rPr>
              <w:t xml:space="preserve">: </w:t>
            </w:r>
            <w:r w:rsidR="008C1C3D" w:rsidRPr="00CD78E2">
              <w:rPr>
                <w:rFonts w:ascii="Arial" w:hAnsi="Arial" w:cs="Arial"/>
                <w:u w:val="single"/>
              </w:rPr>
              <w:t>Applicable to professional and consumer use with an assumed use rate of 0.05% of regional tonnage</w:t>
            </w:r>
          </w:p>
          <w:p w14:paraId="5C643753" w14:textId="77777777" w:rsidR="00E131B9" w:rsidRPr="00CD78E2" w:rsidRDefault="00E131B9" w:rsidP="00E131B9">
            <w:pPr>
              <w:rPr>
                <w:rFonts w:ascii="Arial" w:hAnsi="Arial" w:cs="Arial"/>
              </w:rPr>
            </w:pPr>
          </w:p>
          <w:p w14:paraId="0BAB593A" w14:textId="77777777" w:rsidR="00E131B9" w:rsidRPr="00E131B9" w:rsidRDefault="00E6589B" w:rsidP="00B27610">
            <w:pPr>
              <w:rPr>
                <w:rFonts w:ascii="Arial" w:hAnsi="Arial" w:cs="Arial"/>
                <w:b/>
                <w:color w:val="FF0000"/>
              </w:rPr>
            </w:pPr>
            <w:r w:rsidRPr="00CD78E2">
              <w:rPr>
                <w:rFonts w:ascii="Arial" w:hAnsi="Arial" w:cs="Arial"/>
                <w:i/>
              </w:rPr>
              <w:t>Processing conditions</w:t>
            </w:r>
            <w:r w:rsidRPr="00CD78E2">
              <w:rPr>
                <w:rFonts w:ascii="Arial" w:hAnsi="Arial" w:cs="Arial"/>
              </w:rPr>
              <w:t>: dry process</w:t>
            </w:r>
          </w:p>
        </w:tc>
      </w:tr>
      <w:tr w:rsidR="001E2C65" w14:paraId="00CF997C" w14:textId="77777777" w:rsidTr="00E131B9">
        <w:tc>
          <w:tcPr>
            <w:tcW w:w="2628" w:type="dxa"/>
          </w:tcPr>
          <w:p w14:paraId="2F02ECC9" w14:textId="77777777" w:rsidR="001E2C65" w:rsidRPr="00E131B9" w:rsidRDefault="001E2C65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1E429B4F" w14:textId="77777777" w:rsidR="00CF797E" w:rsidRPr="00E131B9" w:rsidRDefault="00F15EE0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Professional Uses (</w:t>
            </w:r>
            <w:r w:rsidR="001E65AF" w:rsidRPr="00E131B9">
              <w:rPr>
                <w:rFonts w:ascii="Arial" w:hAnsi="Arial" w:cs="Arial"/>
              </w:rPr>
              <w:t>Process Categories</w:t>
            </w:r>
            <w:r w:rsidRPr="00E131B9">
              <w:rPr>
                <w:rFonts w:ascii="Arial" w:hAnsi="Arial" w:cs="Arial"/>
              </w:rPr>
              <w:t>)</w:t>
            </w:r>
            <w:r w:rsidR="00B46890" w:rsidRPr="00E131B9">
              <w:rPr>
                <w:rFonts w:ascii="Arial" w:hAnsi="Arial" w:cs="Arial"/>
              </w:rPr>
              <w:t>: 1</w:t>
            </w:r>
            <w:r w:rsidR="001E65AF" w:rsidRPr="00E131B9">
              <w:rPr>
                <w:rFonts w:ascii="Arial" w:hAnsi="Arial" w:cs="Arial"/>
              </w:rPr>
              <w:t xml:space="preserve"> (</w:t>
            </w:r>
            <w:r w:rsidR="00E81799" w:rsidRPr="00E131B9">
              <w:rPr>
                <w:rFonts w:ascii="Arial" w:hAnsi="Arial" w:cs="Arial"/>
              </w:rPr>
              <w:t>use in closed process, no likelihood of exposure</w:t>
            </w:r>
            <w:r w:rsidR="001E65AF" w:rsidRPr="00E131B9">
              <w:rPr>
                <w:rFonts w:ascii="Arial" w:hAnsi="Arial" w:cs="Arial"/>
              </w:rPr>
              <w:t>)</w:t>
            </w:r>
            <w:r w:rsidR="00B46890" w:rsidRPr="00E131B9">
              <w:rPr>
                <w:rFonts w:ascii="Arial" w:hAnsi="Arial" w:cs="Arial"/>
              </w:rPr>
              <w:t>, 2</w:t>
            </w:r>
            <w:r w:rsidR="001E65AF" w:rsidRPr="00E131B9">
              <w:rPr>
                <w:rFonts w:ascii="Arial" w:hAnsi="Arial" w:cs="Arial"/>
              </w:rPr>
              <w:t xml:space="preserve"> (</w:t>
            </w:r>
            <w:r w:rsidR="00E81799" w:rsidRPr="00E131B9">
              <w:rPr>
                <w:rFonts w:ascii="Arial" w:hAnsi="Arial" w:cs="Arial"/>
              </w:rPr>
              <w:t>use</w:t>
            </w:r>
            <w:r w:rsidR="001E65AF" w:rsidRPr="00E131B9">
              <w:rPr>
                <w:rFonts w:ascii="Arial" w:hAnsi="Arial" w:cs="Arial"/>
              </w:rPr>
              <w:t xml:space="preserve"> in closed</w:t>
            </w:r>
            <w:r w:rsidR="00E81799" w:rsidRPr="00E131B9">
              <w:rPr>
                <w:rFonts w:ascii="Arial" w:hAnsi="Arial" w:cs="Arial"/>
              </w:rPr>
              <w:t xml:space="preserve">, continuous process with </w:t>
            </w:r>
            <w:r w:rsidR="001E65AF" w:rsidRPr="00E131B9">
              <w:rPr>
                <w:rFonts w:ascii="Arial" w:hAnsi="Arial" w:cs="Arial"/>
              </w:rPr>
              <w:t>occasional controlled exposure)</w:t>
            </w:r>
            <w:r w:rsidR="00B46890" w:rsidRPr="00E131B9">
              <w:rPr>
                <w:rFonts w:ascii="Arial" w:hAnsi="Arial" w:cs="Arial"/>
              </w:rPr>
              <w:t>, 3</w:t>
            </w:r>
            <w:r w:rsidR="001E65AF" w:rsidRPr="00E131B9">
              <w:rPr>
                <w:rFonts w:ascii="Arial" w:hAnsi="Arial" w:cs="Arial"/>
              </w:rPr>
              <w:t xml:space="preserve"> (</w:t>
            </w:r>
            <w:r w:rsidR="00E81799" w:rsidRPr="00E131B9">
              <w:rPr>
                <w:rFonts w:ascii="Arial" w:hAnsi="Arial" w:cs="Arial"/>
              </w:rPr>
              <w:t xml:space="preserve">use in closed batch process (synthesis or </w:t>
            </w:r>
            <w:r w:rsidR="001E65AF" w:rsidRPr="00E131B9">
              <w:rPr>
                <w:rFonts w:ascii="Arial" w:hAnsi="Arial" w:cs="Arial"/>
              </w:rPr>
              <w:t>formulation</w:t>
            </w:r>
            <w:r w:rsidR="00E81799" w:rsidRPr="00E131B9">
              <w:rPr>
                <w:rFonts w:ascii="Arial" w:hAnsi="Arial" w:cs="Arial"/>
              </w:rPr>
              <w:t>)</w:t>
            </w:r>
            <w:r w:rsidR="001E65AF" w:rsidRPr="00E131B9">
              <w:rPr>
                <w:rFonts w:ascii="Arial" w:hAnsi="Arial" w:cs="Arial"/>
              </w:rPr>
              <w:t>)</w:t>
            </w:r>
            <w:r w:rsidR="00B46890" w:rsidRPr="00E131B9">
              <w:rPr>
                <w:rFonts w:ascii="Arial" w:hAnsi="Arial" w:cs="Arial"/>
              </w:rPr>
              <w:t xml:space="preserve">, </w:t>
            </w:r>
            <w:r w:rsidR="00070FFD" w:rsidRPr="00E131B9">
              <w:rPr>
                <w:rFonts w:ascii="Arial" w:hAnsi="Arial" w:cs="Arial"/>
              </w:rPr>
              <w:t>8a</w:t>
            </w:r>
            <w:r w:rsidR="00E81799" w:rsidRPr="00E131B9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E131B9">
              <w:rPr>
                <w:rFonts w:ascii="Arial" w:hAnsi="Arial" w:cs="Arial"/>
              </w:rPr>
              <w:t xml:space="preserve">, </w:t>
            </w:r>
            <w:r w:rsidR="00CF797E" w:rsidRPr="00E131B9">
              <w:rPr>
                <w:rFonts w:ascii="Arial" w:hAnsi="Arial" w:cs="Arial"/>
              </w:rPr>
              <w:t xml:space="preserve">9 </w:t>
            </w:r>
          </w:p>
          <w:p w14:paraId="7C4CF9B1" w14:textId="77777777" w:rsidR="002E4D7E" w:rsidRDefault="00CF797E" w:rsidP="00E131B9">
            <w:pPr>
              <w:pStyle w:val="Default"/>
              <w:spacing w:before="40" w:after="40"/>
            </w:pPr>
            <w:r w:rsidRPr="00CF797E">
              <w:t>Transfer of substance or preparation into small containers (dedicated filling line, including weighing), 20 Heat and pressure transfer fluids in dispersive, professional use but closed systems.</w:t>
            </w:r>
          </w:p>
          <w:p w14:paraId="3013ECE5" w14:textId="77777777" w:rsidR="00F15EE0" w:rsidRPr="00E131B9" w:rsidRDefault="00F15EE0">
            <w:pPr>
              <w:rPr>
                <w:rFonts w:ascii="Arial" w:hAnsi="Arial" w:cs="Arial"/>
              </w:rPr>
            </w:pPr>
          </w:p>
          <w:p w14:paraId="0773CEC2" w14:textId="77777777" w:rsidR="00F15EE0" w:rsidRPr="00E131B9" w:rsidRDefault="00F15EE0" w:rsidP="00CF797E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 xml:space="preserve">Consumer Uses (Product Categories): </w:t>
            </w:r>
            <w:r w:rsidR="00CF797E" w:rsidRPr="00E131B9">
              <w:rPr>
                <w:rFonts w:ascii="Arial" w:hAnsi="Arial" w:cs="Arial"/>
              </w:rPr>
              <w:t>16 Heat transfer fluids, 17 Hydraulic fluids.</w:t>
            </w:r>
          </w:p>
        </w:tc>
      </w:tr>
    </w:tbl>
    <w:p w14:paraId="373FD595" w14:textId="77777777" w:rsidR="001E2C65" w:rsidRDefault="001E2C65">
      <w:pPr>
        <w:rPr>
          <w:rFonts w:ascii="Arial" w:hAnsi="Arial" w:cs="Arial"/>
        </w:rPr>
      </w:pPr>
    </w:p>
    <w:p w14:paraId="26F17D10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687"/>
        <w:gridCol w:w="2835"/>
      </w:tblGrid>
      <w:tr w:rsidR="009D522A" w14:paraId="7F82ACFF" w14:textId="77777777" w:rsidTr="00CD78E2">
        <w:tc>
          <w:tcPr>
            <w:tcW w:w="2367" w:type="dxa"/>
            <w:tcBorders>
              <w:top w:val="nil"/>
              <w:left w:val="nil"/>
            </w:tcBorders>
          </w:tcPr>
          <w:p w14:paraId="19579C24" w14:textId="77777777" w:rsidR="009D522A" w:rsidRPr="00E131B9" w:rsidRDefault="009D522A">
            <w:pPr>
              <w:rPr>
                <w:rFonts w:ascii="Arial" w:hAnsi="Arial" w:cs="Arial"/>
              </w:rPr>
            </w:pPr>
          </w:p>
        </w:tc>
        <w:tc>
          <w:tcPr>
            <w:tcW w:w="4687" w:type="dxa"/>
            <w:shd w:val="clear" w:color="auto" w:fill="F3F3F3"/>
          </w:tcPr>
          <w:p w14:paraId="510DD5F0" w14:textId="77777777" w:rsidR="009D522A" w:rsidRPr="00E131B9" w:rsidRDefault="009D522A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</w:tcPr>
          <w:p w14:paraId="1AD52F42" w14:textId="77777777" w:rsidR="009D522A" w:rsidRPr="00E131B9" w:rsidRDefault="009D522A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9D522A" w14:paraId="1672BDF3" w14:textId="77777777" w:rsidTr="00CD78E2">
        <w:tc>
          <w:tcPr>
            <w:tcW w:w="2367" w:type="dxa"/>
            <w:tcBorders>
              <w:bottom w:val="single" w:sz="4" w:space="0" w:color="auto"/>
            </w:tcBorders>
          </w:tcPr>
          <w:p w14:paraId="5333B16A" w14:textId="77777777" w:rsidR="009D522A" w:rsidRPr="00E131B9" w:rsidRDefault="009D522A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012A163D" w14:textId="77777777" w:rsidR="009D522A" w:rsidRPr="00E131B9" w:rsidRDefault="009D522A" w:rsidP="00CE0795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Indoor use/outdoor use. Solvent-based process/product.  Professional and consumer product use leading to emission of volatiles to air.  Professional and consumer product use leading to disposal via the wastewater.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6A3D6C2" w14:textId="77777777" w:rsidR="009D522A" w:rsidRPr="00E131B9" w:rsidRDefault="009D522A">
            <w:pPr>
              <w:rPr>
                <w:rFonts w:ascii="Arial" w:hAnsi="Arial" w:cs="Arial"/>
              </w:rPr>
            </w:pPr>
          </w:p>
        </w:tc>
      </w:tr>
      <w:tr w:rsidR="009D522A" w14:paraId="62504B86" w14:textId="77777777" w:rsidTr="00CD78E2">
        <w:tc>
          <w:tcPr>
            <w:tcW w:w="2367" w:type="dxa"/>
            <w:tcBorders>
              <w:bottom w:val="single" w:sz="4" w:space="0" w:color="auto"/>
            </w:tcBorders>
          </w:tcPr>
          <w:p w14:paraId="4AEDE0AE" w14:textId="77777777" w:rsidR="009D522A" w:rsidRPr="00DB28C6" w:rsidRDefault="009D522A" w:rsidP="004F2784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22D13F0A" w14:textId="77777777" w:rsidR="009D522A" w:rsidRPr="00DB28C6" w:rsidRDefault="009D522A" w:rsidP="004F2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6C3594" w14:textId="77777777" w:rsidR="009D522A" w:rsidRPr="00136A25" w:rsidRDefault="009D522A" w:rsidP="004F2784">
            <w:pPr>
              <w:rPr>
                <w:rFonts w:ascii="Arial" w:hAnsi="Arial" w:cs="Arial"/>
              </w:rPr>
            </w:pPr>
          </w:p>
        </w:tc>
      </w:tr>
      <w:tr w:rsidR="009D522A" w14:paraId="1C76C1A2" w14:textId="77777777" w:rsidTr="00CD78E2">
        <w:tc>
          <w:tcPr>
            <w:tcW w:w="2367" w:type="dxa"/>
            <w:tcBorders>
              <w:bottom w:val="single" w:sz="4" w:space="0" w:color="auto"/>
            </w:tcBorders>
          </w:tcPr>
          <w:p w14:paraId="3D6E4EF0" w14:textId="77777777" w:rsidR="009D522A" w:rsidRPr="00E131B9" w:rsidRDefault="009D522A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4BD71F4F" w14:textId="77777777" w:rsidR="009D522A" w:rsidRPr="00E131B9" w:rsidRDefault="009D522A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6D8F68A" w14:textId="77777777" w:rsidR="009D522A" w:rsidRPr="00E131B9" w:rsidRDefault="009D522A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Default approach of the REACH guidance</w:t>
            </w:r>
            <w:r w:rsidRPr="00E131B9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9D522A" w:rsidRPr="00176EEA" w14:paraId="38D53819" w14:textId="77777777" w:rsidTr="00CD78E2">
        <w:tc>
          <w:tcPr>
            <w:tcW w:w="2367" w:type="dxa"/>
            <w:shd w:val="clear" w:color="auto" w:fill="auto"/>
          </w:tcPr>
          <w:p w14:paraId="12EF31DB" w14:textId="77777777" w:rsidR="009D522A" w:rsidRPr="00E131B9" w:rsidRDefault="009D522A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687" w:type="dxa"/>
            <w:shd w:val="clear" w:color="auto" w:fill="auto"/>
          </w:tcPr>
          <w:p w14:paraId="7D585567" w14:textId="77777777" w:rsidR="009D522A" w:rsidRPr="00E131B9" w:rsidRDefault="009D522A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2835" w:type="dxa"/>
            <w:shd w:val="clear" w:color="auto" w:fill="auto"/>
          </w:tcPr>
          <w:p w14:paraId="40D14F1F" w14:textId="77777777" w:rsidR="009D522A" w:rsidRPr="00E131B9" w:rsidRDefault="009D522A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Default approach of the REACH guidance</w:t>
            </w:r>
            <w:r w:rsidRPr="00E131B9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9D522A" w14:paraId="200DF972" w14:textId="77777777" w:rsidTr="00CD78E2">
        <w:tc>
          <w:tcPr>
            <w:tcW w:w="2367" w:type="dxa"/>
          </w:tcPr>
          <w:p w14:paraId="66D5D6C5" w14:textId="77777777" w:rsidR="009D522A" w:rsidRPr="00E131B9" w:rsidRDefault="009D522A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687" w:type="dxa"/>
          </w:tcPr>
          <w:p w14:paraId="349D2C8B" w14:textId="77777777" w:rsidR="009D522A" w:rsidRPr="00E131B9" w:rsidRDefault="009D522A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2835" w:type="dxa"/>
          </w:tcPr>
          <w:p w14:paraId="0CC29655" w14:textId="77777777" w:rsidR="009D522A" w:rsidRPr="00E131B9" w:rsidRDefault="009D522A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ERC default settings</w:t>
            </w:r>
            <w:r w:rsidRPr="00E131B9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53275797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27581925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79C95962" w14:textId="77777777" w:rsidR="008C1C3D" w:rsidRPr="008C1C3D" w:rsidRDefault="00001DC1" w:rsidP="008C1C3D">
      <w:pPr>
        <w:rPr>
          <w:rFonts w:ascii="Arial" w:hAnsi="Arial" w:cs="Arial"/>
        </w:rPr>
      </w:pPr>
      <w:hyperlink r:id="rId7" w:history="1">
        <w:r w:rsidR="008C1C3D" w:rsidRPr="008C1C3D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8C1C3D" w:rsidRPr="008C1C3D">
        <w:rPr>
          <w:rFonts w:ascii="Arial" w:hAnsi="Arial" w:cs="Arial"/>
        </w:rPr>
        <w:t xml:space="preserve"> </w:t>
      </w:r>
    </w:p>
    <w:p w14:paraId="3C77069A" w14:textId="77777777" w:rsidR="00E131B9" w:rsidRPr="00E131B9" w:rsidRDefault="00E131B9" w:rsidP="00E131B9">
      <w:pPr>
        <w:rPr>
          <w:rFonts w:ascii="Arial" w:hAnsi="Arial" w:cs="Arial"/>
        </w:rPr>
      </w:pPr>
    </w:p>
    <w:p w14:paraId="3D45217B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647"/>
        <w:gridCol w:w="1831"/>
        <w:gridCol w:w="4318"/>
      </w:tblGrid>
      <w:tr w:rsidR="00E131B9" w14:paraId="214DCCD7" w14:textId="77777777" w:rsidTr="00E131B9">
        <w:tc>
          <w:tcPr>
            <w:tcW w:w="2628" w:type="dxa"/>
            <w:tcBorders>
              <w:top w:val="nil"/>
              <w:left w:val="nil"/>
            </w:tcBorders>
          </w:tcPr>
          <w:p w14:paraId="202235DD" w14:textId="77777777" w:rsidR="00D10CA3" w:rsidRPr="00E131B9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5B793261" w14:textId="77777777" w:rsidR="00D10CA3" w:rsidRPr="00E131B9" w:rsidRDefault="00D10CA3" w:rsidP="00D10CA3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538E9DEF" w14:textId="77777777" w:rsidR="00D10CA3" w:rsidRPr="00E131B9" w:rsidRDefault="00D10CA3" w:rsidP="00D10CA3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Justification</w:t>
            </w:r>
          </w:p>
        </w:tc>
      </w:tr>
      <w:tr w:rsidR="00E131B9" w14:paraId="0FFFF1F4" w14:textId="77777777" w:rsidTr="00E131B9">
        <w:trPr>
          <w:trHeight w:val="152"/>
        </w:trPr>
        <w:tc>
          <w:tcPr>
            <w:tcW w:w="2628" w:type="dxa"/>
            <w:vMerge w:val="restart"/>
          </w:tcPr>
          <w:p w14:paraId="40B826FA" w14:textId="77777777" w:rsidR="003214A1" w:rsidRPr="00E131B9" w:rsidRDefault="00D10CA3" w:rsidP="00D10CA3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73BC1A9C" w14:textId="77777777" w:rsidR="004A2A1C" w:rsidRPr="00E131B9" w:rsidRDefault="00C048C9" w:rsidP="004A2A1C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E131B9">
              <w:rPr>
                <w:rFonts w:ascii="Arial" w:hAnsi="Arial" w:cs="Arial"/>
                <w:b/>
                <w:i/>
              </w:rPr>
              <w:t>Air</w:t>
            </w:r>
          </w:p>
        </w:tc>
        <w:tc>
          <w:tcPr>
            <w:tcW w:w="2280" w:type="dxa"/>
          </w:tcPr>
          <w:p w14:paraId="1255D20E" w14:textId="77777777" w:rsidR="004A2A1C" w:rsidRPr="00E131B9" w:rsidRDefault="00C71575" w:rsidP="00E131B9">
            <w:pPr>
              <w:jc w:val="center"/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0.05</w:t>
            </w:r>
          </w:p>
        </w:tc>
        <w:tc>
          <w:tcPr>
            <w:tcW w:w="5508" w:type="dxa"/>
          </w:tcPr>
          <w:p w14:paraId="01680E79" w14:textId="77777777" w:rsidR="006A3BF2" w:rsidRPr="00E131B9" w:rsidRDefault="003C1546" w:rsidP="00D10CA3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Average of ERC9a and 9b defaults</w:t>
            </w:r>
            <w:r w:rsidRPr="00E131B9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E131B9" w14:paraId="70800DE1" w14:textId="77777777" w:rsidTr="00E131B9">
        <w:trPr>
          <w:trHeight w:val="135"/>
        </w:trPr>
        <w:tc>
          <w:tcPr>
            <w:tcW w:w="2628" w:type="dxa"/>
            <w:vMerge/>
          </w:tcPr>
          <w:p w14:paraId="68F1E7BE" w14:textId="77777777" w:rsidR="003C1546" w:rsidRPr="00E131B9" w:rsidRDefault="003C1546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23546204" w14:textId="77777777" w:rsidR="003C1546" w:rsidRPr="00E131B9" w:rsidRDefault="003C1546" w:rsidP="00D10CA3">
            <w:pPr>
              <w:rPr>
                <w:rFonts w:ascii="Arial" w:hAnsi="Arial" w:cs="Arial"/>
                <w:b/>
                <w:i/>
              </w:rPr>
            </w:pPr>
            <w:r w:rsidRPr="00E131B9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</w:tc>
        <w:tc>
          <w:tcPr>
            <w:tcW w:w="2280" w:type="dxa"/>
          </w:tcPr>
          <w:p w14:paraId="77410A84" w14:textId="77777777" w:rsidR="003C1546" w:rsidRPr="00E131B9" w:rsidRDefault="003C1546" w:rsidP="00E131B9">
            <w:pPr>
              <w:jc w:val="center"/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0.025</w:t>
            </w:r>
          </w:p>
        </w:tc>
        <w:tc>
          <w:tcPr>
            <w:tcW w:w="5508" w:type="dxa"/>
          </w:tcPr>
          <w:p w14:paraId="153D6CB5" w14:textId="77777777" w:rsidR="003C1546" w:rsidRPr="00E131B9" w:rsidRDefault="003C1546" w:rsidP="0038169C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Average of ERC9a and 9b defaults</w:t>
            </w:r>
            <w:r w:rsidRPr="00E131B9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E131B9" w14:paraId="3B4BF812" w14:textId="77777777" w:rsidTr="00E131B9">
        <w:tc>
          <w:tcPr>
            <w:tcW w:w="2628" w:type="dxa"/>
            <w:vMerge/>
          </w:tcPr>
          <w:p w14:paraId="7BA15E6E" w14:textId="77777777" w:rsidR="003C1546" w:rsidRPr="00E131B9" w:rsidRDefault="003C1546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78B09F2A" w14:textId="77777777" w:rsidR="003C1546" w:rsidRPr="00E131B9" w:rsidRDefault="003C1546" w:rsidP="008F4BB4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  <w:b/>
                <w:i/>
              </w:rPr>
              <w:t>To Soil</w:t>
            </w:r>
          </w:p>
        </w:tc>
        <w:tc>
          <w:tcPr>
            <w:tcW w:w="2280" w:type="dxa"/>
          </w:tcPr>
          <w:p w14:paraId="2AD6FC2E" w14:textId="77777777" w:rsidR="003C1546" w:rsidRPr="00E131B9" w:rsidRDefault="003C1546" w:rsidP="00E131B9">
            <w:pPr>
              <w:jc w:val="center"/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0.025</w:t>
            </w:r>
          </w:p>
        </w:tc>
        <w:tc>
          <w:tcPr>
            <w:tcW w:w="5508" w:type="dxa"/>
          </w:tcPr>
          <w:p w14:paraId="1495362C" w14:textId="77777777" w:rsidR="003C1546" w:rsidRPr="00E131B9" w:rsidRDefault="003C1546" w:rsidP="0038169C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Average of ERC9a and 9b defaults</w:t>
            </w:r>
            <w:r w:rsidRPr="00E131B9"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14:paraId="6C78AC51" w14:textId="77777777" w:rsidR="003C1546" w:rsidRDefault="003C1546" w:rsidP="003C1546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6C77A133" w14:textId="77777777" w:rsidR="003C1546" w:rsidRDefault="003C1546">
      <w:pPr>
        <w:rPr>
          <w:rFonts w:ascii="Arial" w:hAnsi="Arial" w:cs="Arial"/>
        </w:rPr>
      </w:pPr>
    </w:p>
    <w:p w14:paraId="44701272" w14:textId="77777777" w:rsidR="005E5621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895"/>
        <w:gridCol w:w="5736"/>
      </w:tblGrid>
      <w:tr w:rsidR="00E131B9" w:rsidRPr="001E2C65" w14:paraId="7572C64A" w14:textId="77777777" w:rsidTr="00E131B9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1A806F11" w14:textId="77777777" w:rsidR="005E5621" w:rsidRPr="00E131B9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C3195DF" w14:textId="77777777" w:rsidR="005E5621" w:rsidRPr="00E131B9" w:rsidRDefault="008271BB" w:rsidP="005E5621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254F7CC8" w14:textId="77777777" w:rsidR="005E5621" w:rsidRPr="00E131B9" w:rsidRDefault="008271BB" w:rsidP="005E5621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0CA57A76" w14:textId="77777777" w:rsidTr="00E131B9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4F2E0995" w14:textId="77777777" w:rsidR="007B15CF" w:rsidRPr="00E131B9" w:rsidRDefault="007B15CF" w:rsidP="005E5621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Appropriate</w:t>
            </w:r>
            <w:r w:rsidR="00075F4C" w:rsidRPr="00E131B9">
              <w:rPr>
                <w:rFonts w:ascii="Arial" w:hAnsi="Arial" w:cs="Arial"/>
                <w:b/>
              </w:rPr>
              <w:t xml:space="preserve"> </w:t>
            </w:r>
            <w:r w:rsidRPr="00E131B9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343266FB" w14:textId="77777777" w:rsidR="007B15CF" w:rsidRPr="00E131B9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E131B9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1924B392" w14:textId="77777777" w:rsidTr="00E131B9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4357BB16" w14:textId="77777777" w:rsidR="005E5621" w:rsidRPr="00E131B9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17B11A01" w14:textId="77777777" w:rsidR="00102559" w:rsidRPr="00E131B9" w:rsidRDefault="007218FC" w:rsidP="005E5621">
            <w:pPr>
              <w:rPr>
                <w:rFonts w:ascii="Arial" w:hAnsi="Arial" w:cs="Arial"/>
                <w:i/>
              </w:rPr>
            </w:pPr>
            <w:r w:rsidRPr="00E131B9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003F5822" w14:textId="77777777" w:rsidR="002D3E85" w:rsidRDefault="005E5DBF" w:rsidP="0017008D">
            <w:r w:rsidRPr="00E131B9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  <w:tr w:rsidR="007B15CF" w14:paraId="1B15E1F7" w14:textId="77777777" w:rsidTr="00E131B9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3009A9C1" w14:textId="77777777" w:rsidR="007B15CF" w:rsidRPr="00E131B9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7DC21E6B" w14:textId="77777777" w:rsidR="007B15CF" w:rsidRPr="00E131B9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E131B9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E131B9" w14:paraId="3BA810C1" w14:textId="77777777" w:rsidTr="00E131B9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318A7435" w14:textId="77777777" w:rsidR="005E5621" w:rsidRPr="00E131B9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2798E6ED" w14:textId="77777777" w:rsidR="004620DD" w:rsidRPr="00E131B9" w:rsidRDefault="00795371" w:rsidP="005E5621">
            <w:pPr>
              <w:rPr>
                <w:rFonts w:ascii="Arial" w:hAnsi="Arial" w:cs="Arial"/>
                <w:i/>
              </w:rPr>
            </w:pPr>
            <w:r w:rsidRPr="00E131B9">
              <w:rPr>
                <w:rFonts w:ascii="Arial" w:hAnsi="Arial" w:cs="Arial"/>
                <w:i/>
              </w:rPr>
              <w:t>Of</w:t>
            </w:r>
            <w:r w:rsidR="00D43682" w:rsidRPr="00E131B9">
              <w:rPr>
                <w:rFonts w:ascii="Arial" w:hAnsi="Arial" w:cs="Arial"/>
                <w:i/>
              </w:rPr>
              <w:t>f</w:t>
            </w:r>
            <w:r w:rsidRPr="00E131B9">
              <w:rPr>
                <w:rFonts w:ascii="Arial" w:hAnsi="Arial" w:cs="Arial"/>
                <w:i/>
              </w:rPr>
              <w:t>site Technology</w:t>
            </w:r>
          </w:p>
          <w:p w14:paraId="2FDFEB7D" w14:textId="77777777" w:rsidR="007F1596" w:rsidRPr="00E131B9" w:rsidRDefault="00FB1AF0" w:rsidP="005E5621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Municipal w</w:t>
            </w:r>
            <w:r w:rsidR="007B15CF" w:rsidRPr="00E131B9">
              <w:rPr>
                <w:rFonts w:ascii="Arial" w:hAnsi="Arial" w:cs="Arial"/>
              </w:rPr>
              <w:t>astewater treatment plant</w:t>
            </w:r>
          </w:p>
          <w:p w14:paraId="3C59E8A3" w14:textId="77777777" w:rsidR="007F1596" w:rsidRPr="00E131B9" w:rsidRDefault="007F1596" w:rsidP="007F1596">
            <w:pPr>
              <w:rPr>
                <w:rFonts w:ascii="Arial" w:hAnsi="Arial" w:cs="Arial"/>
              </w:rPr>
            </w:pPr>
          </w:p>
          <w:p w14:paraId="603E80F7" w14:textId="77777777" w:rsidR="005E5621" w:rsidRPr="00E131B9" w:rsidRDefault="005E5621" w:rsidP="00E131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58E67612" w14:textId="77777777" w:rsidR="005E5621" w:rsidRPr="00E131B9" w:rsidRDefault="007B15CF" w:rsidP="005E5621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The removal efficiency of a sewage treatment plant can be estimated.  The standard estimation is via the SimpleTreat module of EUSES or ECETOC TRA.</w:t>
            </w:r>
          </w:p>
          <w:p w14:paraId="1C4C716D" w14:textId="77777777" w:rsidR="007B15CF" w:rsidRPr="00E131B9" w:rsidRDefault="002D3E85" w:rsidP="005E5621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*</w:t>
            </w:r>
            <w:r w:rsidR="007B15CF" w:rsidRPr="00E131B9">
              <w:rPr>
                <w:rFonts w:ascii="Arial" w:hAnsi="Arial" w:cs="Arial"/>
              </w:rPr>
              <w:t xml:space="preserve">Specific </w:t>
            </w:r>
            <w:r w:rsidR="00A402AF" w:rsidRPr="00E131B9">
              <w:rPr>
                <w:rFonts w:ascii="Arial" w:hAnsi="Arial" w:cs="Arial"/>
              </w:rPr>
              <w:t xml:space="preserve">substance </w:t>
            </w:r>
            <w:r w:rsidR="007B15CF" w:rsidRPr="00E131B9">
              <w:rPr>
                <w:rFonts w:ascii="Arial" w:hAnsi="Arial" w:cs="Arial"/>
              </w:rPr>
              <w:t>efficienc</w:t>
            </w:r>
            <w:r w:rsidR="00827B18" w:rsidRPr="00E131B9">
              <w:rPr>
                <w:rFonts w:ascii="Arial" w:hAnsi="Arial" w:cs="Arial"/>
              </w:rPr>
              <w:t>y</w:t>
            </w:r>
            <w:r w:rsidR="007B15CF" w:rsidRPr="00E131B9">
              <w:rPr>
                <w:rFonts w:ascii="Arial" w:hAnsi="Arial" w:cs="Arial"/>
              </w:rPr>
              <w:t xml:space="preserve"> </w:t>
            </w:r>
            <w:r w:rsidRPr="00E131B9">
              <w:rPr>
                <w:rFonts w:ascii="Arial" w:hAnsi="Arial" w:cs="Arial"/>
              </w:rPr>
              <w:t>calculated via SimpleTreat and</w:t>
            </w:r>
            <w:r w:rsidR="00827B18" w:rsidRPr="00E131B9">
              <w:rPr>
                <w:rFonts w:ascii="Arial" w:hAnsi="Arial" w:cs="Arial"/>
              </w:rPr>
              <w:t xml:space="preserve"> is</w:t>
            </w:r>
            <w:r w:rsidRPr="00E131B9">
              <w:rPr>
                <w:rFonts w:ascii="Arial" w:hAnsi="Arial" w:cs="Arial"/>
              </w:rPr>
              <w:t xml:space="preserve"> assumed </w:t>
            </w:r>
            <w:r w:rsidR="00827B18" w:rsidRPr="00E131B9">
              <w:rPr>
                <w:rFonts w:ascii="Arial" w:hAnsi="Arial" w:cs="Arial"/>
              </w:rPr>
              <w:t xml:space="preserve">to represent </w:t>
            </w:r>
            <w:r w:rsidRPr="00E131B9">
              <w:rPr>
                <w:rFonts w:ascii="Arial" w:hAnsi="Arial" w:cs="Arial"/>
              </w:rPr>
              <w:t>default</w:t>
            </w:r>
            <w:r w:rsidR="00827B18" w:rsidRPr="00E131B9">
              <w:rPr>
                <w:rFonts w:ascii="Arial" w:hAnsi="Arial" w:cs="Arial"/>
              </w:rPr>
              <w:t xml:space="preserve"> removal efficiency</w:t>
            </w:r>
            <w:r w:rsidR="007B15CF" w:rsidRPr="00E131B9">
              <w:rPr>
                <w:rFonts w:ascii="Arial" w:hAnsi="Arial" w:cs="Arial"/>
              </w:rPr>
              <w:t>.</w:t>
            </w:r>
          </w:p>
        </w:tc>
      </w:tr>
      <w:tr w:rsidR="005E5621" w14:paraId="32B43E03" w14:textId="77777777" w:rsidTr="00E131B9">
        <w:tc>
          <w:tcPr>
            <w:tcW w:w="2628" w:type="dxa"/>
            <w:vMerge/>
            <w:shd w:val="clear" w:color="auto" w:fill="auto"/>
          </w:tcPr>
          <w:p w14:paraId="399791C2" w14:textId="77777777" w:rsidR="005E5621" w:rsidRPr="00E131B9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6BF8A8F" w14:textId="77777777" w:rsidR="00F61AA2" w:rsidRPr="00E131B9" w:rsidRDefault="007218FC" w:rsidP="005E5621">
            <w:pPr>
              <w:rPr>
                <w:rFonts w:ascii="Arial" w:hAnsi="Arial" w:cs="Arial"/>
                <w:i/>
              </w:rPr>
            </w:pPr>
            <w:r w:rsidRPr="00E131B9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7D334392" w14:textId="77777777" w:rsidR="002E77C9" w:rsidRPr="00E131B9" w:rsidRDefault="005E5DBF" w:rsidP="005E5621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</w:tbl>
    <w:p w14:paraId="47BBCA3D" w14:textId="77777777" w:rsidR="005E5DBF" w:rsidRDefault="005E5DBF" w:rsidP="00F5056E">
      <w:pPr>
        <w:rPr>
          <w:rFonts w:ascii="Arial" w:hAnsi="Arial" w:cs="Arial"/>
        </w:rPr>
      </w:pPr>
    </w:p>
    <w:p w14:paraId="0A4A5523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B0E46C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A2942" w14:paraId="6667AE32" w14:textId="77777777" w:rsidTr="00E131B9">
        <w:tc>
          <w:tcPr>
            <w:tcW w:w="13176" w:type="dxa"/>
            <w:shd w:val="clear" w:color="auto" w:fill="F3F3F3"/>
          </w:tcPr>
          <w:p w14:paraId="7D37F2B9" w14:textId="77777777" w:rsidR="003A2942" w:rsidRPr="00E131B9" w:rsidRDefault="003A2942" w:rsidP="003A2942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4CEB1158" w14:textId="77777777" w:rsidTr="00E131B9">
        <w:trPr>
          <w:trHeight w:val="1110"/>
        </w:trPr>
        <w:tc>
          <w:tcPr>
            <w:tcW w:w="13176" w:type="dxa"/>
          </w:tcPr>
          <w:p w14:paraId="3292B245" w14:textId="77777777" w:rsidR="003A2942" w:rsidRPr="00E131B9" w:rsidRDefault="00DD7965" w:rsidP="003A2942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Communication in SDS</w:t>
            </w:r>
          </w:p>
          <w:p w14:paraId="40CDCF71" w14:textId="77777777" w:rsidR="00F940A3" w:rsidRPr="00E131B9" w:rsidRDefault="00DD7965" w:rsidP="003A2942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E131B9">
              <w:rPr>
                <w:rFonts w:ascii="Arial" w:hAnsi="Arial" w:cs="Arial"/>
              </w:rPr>
              <w:t xml:space="preserve"> for a substance </w:t>
            </w:r>
            <w:r w:rsidR="0080289E" w:rsidRPr="00E131B9">
              <w:rPr>
                <w:rFonts w:ascii="Arial" w:hAnsi="Arial" w:cs="Arial"/>
              </w:rPr>
              <w:t>(</w:t>
            </w:r>
            <w:r w:rsidR="00831FD4" w:rsidRPr="00E131B9">
              <w:rPr>
                <w:rFonts w:ascii="Arial" w:hAnsi="Arial" w:cs="Arial"/>
              </w:rPr>
              <w:t xml:space="preserve">for </w:t>
            </w:r>
            <w:r w:rsidR="00FB56E7" w:rsidRPr="00E131B9">
              <w:rPr>
                <w:rFonts w:ascii="Arial" w:hAnsi="Arial" w:cs="Arial"/>
              </w:rPr>
              <w:t xml:space="preserve">wide dispersive use </w:t>
            </w:r>
            <w:r w:rsidR="00831FD4" w:rsidRPr="00E131B9">
              <w:rPr>
                <w:rFonts w:ascii="Arial" w:hAnsi="Arial" w:cs="Arial"/>
              </w:rPr>
              <w:t xml:space="preserve">of </w:t>
            </w:r>
            <w:r w:rsidR="0080289E" w:rsidRPr="00E131B9">
              <w:rPr>
                <w:rFonts w:ascii="Arial" w:hAnsi="Arial" w:cs="Arial"/>
              </w:rPr>
              <w:t>a solvent-borne processing aid)</w:t>
            </w:r>
            <w:r w:rsidR="00831FD4" w:rsidRPr="00E131B9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E131B9">
              <w:rPr>
                <w:rFonts w:ascii="Arial" w:hAnsi="Arial" w:cs="Arial"/>
              </w:rPr>
              <w:t>P</w:t>
            </w:r>
            <w:r w:rsidR="00831FD4" w:rsidRPr="00E131B9">
              <w:rPr>
                <w:rFonts w:ascii="Arial" w:hAnsi="Arial" w:cs="Arial"/>
              </w:rPr>
              <w:t>ERC and recommend</w:t>
            </w:r>
            <w:r w:rsidR="00A90E70" w:rsidRPr="00E131B9">
              <w:rPr>
                <w:rFonts w:ascii="Arial" w:hAnsi="Arial" w:cs="Arial"/>
              </w:rPr>
              <w:t>ing a</w:t>
            </w:r>
            <w:r w:rsidR="00831FD4" w:rsidRPr="00E131B9">
              <w:rPr>
                <w:rFonts w:ascii="Arial" w:hAnsi="Arial" w:cs="Arial"/>
              </w:rPr>
              <w:t xml:space="preserve"> </w:t>
            </w:r>
            <w:r w:rsidR="00A90E70" w:rsidRPr="00E131B9">
              <w:rPr>
                <w:rFonts w:ascii="Arial" w:hAnsi="Arial" w:cs="Arial"/>
              </w:rPr>
              <w:t>Required R</w:t>
            </w:r>
            <w:r w:rsidR="00B649EB" w:rsidRPr="00E131B9">
              <w:rPr>
                <w:rFonts w:ascii="Arial" w:hAnsi="Arial" w:cs="Arial"/>
              </w:rPr>
              <w:t xml:space="preserve">emoval </w:t>
            </w:r>
            <w:r w:rsidR="00A90E70" w:rsidRPr="00E131B9">
              <w:rPr>
                <w:rFonts w:ascii="Arial" w:hAnsi="Arial" w:cs="Arial"/>
              </w:rPr>
              <w:t>E</w:t>
            </w:r>
            <w:r w:rsidR="00831FD4" w:rsidRPr="00E131B9">
              <w:rPr>
                <w:rFonts w:ascii="Arial" w:hAnsi="Arial" w:cs="Arial"/>
              </w:rPr>
              <w:t xml:space="preserve">fficiency </w:t>
            </w:r>
            <w:r w:rsidR="00B649EB" w:rsidRPr="00E131B9">
              <w:rPr>
                <w:rFonts w:ascii="Arial" w:hAnsi="Arial" w:cs="Arial"/>
              </w:rPr>
              <w:t>(RRE)</w:t>
            </w:r>
            <w:r w:rsidR="00A90E70" w:rsidRPr="00E131B9">
              <w:rPr>
                <w:rFonts w:ascii="Arial" w:hAnsi="Arial" w:cs="Arial"/>
              </w:rPr>
              <w:t xml:space="preserve"> </w:t>
            </w:r>
            <w:r w:rsidR="00831FD4" w:rsidRPr="00E131B9">
              <w:rPr>
                <w:rFonts w:ascii="Arial" w:hAnsi="Arial" w:cs="Arial"/>
              </w:rPr>
              <w:t xml:space="preserve">for adequate risk reduction.  </w:t>
            </w:r>
            <w:r w:rsidR="0080289E" w:rsidRPr="00E131B9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E131B9">
              <w:rPr>
                <w:rFonts w:ascii="Arial" w:hAnsi="Arial" w:cs="Arial"/>
              </w:rPr>
              <w:t>If &gt; 0, t</w:t>
            </w:r>
            <w:r w:rsidR="00831FD4" w:rsidRPr="00E131B9">
              <w:rPr>
                <w:rFonts w:ascii="Arial" w:hAnsi="Arial" w:cs="Arial"/>
              </w:rPr>
              <w:t>h</w:t>
            </w:r>
            <w:r w:rsidR="00F940A3" w:rsidRPr="00E131B9">
              <w:rPr>
                <w:rFonts w:ascii="Arial" w:hAnsi="Arial" w:cs="Arial"/>
              </w:rPr>
              <w:t>e</w:t>
            </w:r>
            <w:r w:rsidR="00831FD4" w:rsidRPr="00E131B9">
              <w:rPr>
                <w:rFonts w:ascii="Arial" w:hAnsi="Arial" w:cs="Arial"/>
              </w:rPr>
              <w:t xml:space="preserve"> </w:t>
            </w:r>
            <w:r w:rsidR="00F940A3" w:rsidRPr="00E131B9">
              <w:rPr>
                <w:rFonts w:ascii="Arial" w:hAnsi="Arial" w:cs="Arial"/>
              </w:rPr>
              <w:t xml:space="preserve">RRE </w:t>
            </w:r>
            <w:r w:rsidR="00831FD4" w:rsidRPr="00E131B9">
              <w:rPr>
                <w:rFonts w:ascii="Arial" w:hAnsi="Arial" w:cs="Arial"/>
              </w:rPr>
              <w:t xml:space="preserve">may </w:t>
            </w:r>
            <w:r w:rsidR="00F940A3" w:rsidRPr="00E131B9">
              <w:rPr>
                <w:rFonts w:ascii="Arial" w:hAnsi="Arial" w:cs="Arial"/>
              </w:rPr>
              <w:t xml:space="preserve">be achieved via </w:t>
            </w:r>
            <w:r w:rsidR="00A90E70" w:rsidRPr="00E131B9">
              <w:rPr>
                <w:rFonts w:ascii="Arial" w:hAnsi="Arial" w:cs="Arial"/>
              </w:rPr>
              <w:t xml:space="preserve">offsite </w:t>
            </w:r>
            <w:r w:rsidR="00831FD4" w:rsidRPr="00E131B9">
              <w:rPr>
                <w:rFonts w:ascii="Arial" w:hAnsi="Arial" w:cs="Arial"/>
              </w:rPr>
              <w:t>municipal sewage treatment (</w:t>
            </w:r>
            <w:r w:rsidR="0080289E" w:rsidRPr="00E131B9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E131B9">
              <w:rPr>
                <w:rFonts w:ascii="Arial" w:hAnsi="Arial" w:cs="Arial"/>
              </w:rPr>
              <w:t>R</w:t>
            </w:r>
            <w:r w:rsidR="00831FD4" w:rsidRPr="00E131B9">
              <w:rPr>
                <w:rFonts w:ascii="Arial" w:hAnsi="Arial" w:cs="Arial"/>
              </w:rPr>
              <w:t>E</w:t>
            </w:r>
            <w:r w:rsidR="00A90E70" w:rsidRPr="00E131B9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E131B9">
              <w:rPr>
                <w:rFonts w:ascii="Arial" w:hAnsi="Arial" w:cs="Arial"/>
              </w:rPr>
              <w:t>)</w:t>
            </w:r>
            <w:r w:rsidR="00516A69" w:rsidRPr="00E131B9">
              <w:rPr>
                <w:rFonts w:ascii="Arial" w:hAnsi="Arial" w:cs="Arial"/>
              </w:rPr>
              <w:t xml:space="preserve">. </w:t>
            </w:r>
          </w:p>
          <w:p w14:paraId="329BFBBE" w14:textId="77777777" w:rsidR="00DD7965" w:rsidRPr="00E131B9" w:rsidRDefault="00682BBB" w:rsidP="003A2942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E131B9">
              <w:rPr>
                <w:rFonts w:ascii="Arial" w:hAnsi="Arial" w:cs="Arial"/>
              </w:rPr>
              <w:t>,</w:t>
            </w:r>
            <w:r w:rsidRPr="00E131B9">
              <w:rPr>
                <w:rFonts w:ascii="Arial" w:hAnsi="Arial" w:cs="Arial"/>
              </w:rPr>
              <w:t xml:space="preserve"> are</w:t>
            </w:r>
            <w:r w:rsidR="00831FD4" w:rsidRPr="00E131B9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E131B9">
              <w:rPr>
                <w:rFonts w:ascii="Arial" w:hAnsi="Arial" w:cs="Arial"/>
              </w:rPr>
              <w:t>P</w:t>
            </w:r>
            <w:r w:rsidR="00831FD4" w:rsidRPr="00E131B9">
              <w:rPr>
                <w:rFonts w:ascii="Arial" w:hAnsi="Arial" w:cs="Arial"/>
              </w:rPr>
              <w:t>ERC ‘</w:t>
            </w:r>
            <w:r w:rsidR="00CF2C4D" w:rsidRPr="00E131B9">
              <w:rPr>
                <w:rFonts w:ascii="Arial" w:hAnsi="Arial" w:cs="Arial"/>
              </w:rPr>
              <w:t>Functional fluids</w:t>
            </w:r>
            <w:r w:rsidR="00831FD4" w:rsidRPr="00E131B9">
              <w:rPr>
                <w:rFonts w:ascii="Arial" w:hAnsi="Arial" w:cs="Arial"/>
              </w:rPr>
              <w:t xml:space="preserve"> – </w:t>
            </w:r>
            <w:r w:rsidR="00FB56E7" w:rsidRPr="00E131B9">
              <w:rPr>
                <w:rFonts w:ascii="Arial" w:hAnsi="Arial" w:cs="Arial"/>
              </w:rPr>
              <w:t>wide dispersive use</w:t>
            </w:r>
            <w:r w:rsidR="00831FD4" w:rsidRPr="00E131B9">
              <w:rPr>
                <w:rFonts w:ascii="Arial" w:hAnsi="Arial" w:cs="Arial"/>
              </w:rPr>
              <w:t xml:space="preserve"> (solvent-borne)’ are implicitly refe</w:t>
            </w:r>
            <w:r w:rsidR="0091652A" w:rsidRPr="00E131B9">
              <w:rPr>
                <w:rFonts w:ascii="Arial" w:hAnsi="Arial" w:cs="Arial"/>
              </w:rPr>
              <w:t>rred to via the reference to this</w:t>
            </w:r>
            <w:r w:rsidR="00831FD4" w:rsidRPr="00E131B9">
              <w:rPr>
                <w:rFonts w:ascii="Arial" w:hAnsi="Arial" w:cs="Arial"/>
              </w:rPr>
              <w:t xml:space="preserve"> S</w:t>
            </w:r>
            <w:r w:rsidR="00720BC1" w:rsidRPr="00E131B9">
              <w:rPr>
                <w:rFonts w:ascii="Arial" w:hAnsi="Arial" w:cs="Arial"/>
              </w:rPr>
              <w:t>P</w:t>
            </w:r>
            <w:r w:rsidR="00831FD4" w:rsidRPr="00E131B9">
              <w:rPr>
                <w:rFonts w:ascii="Arial" w:hAnsi="Arial" w:cs="Arial"/>
              </w:rPr>
              <w:t>ERC.</w:t>
            </w:r>
          </w:p>
          <w:p w14:paraId="25156BC3" w14:textId="77777777" w:rsidR="00DD7965" w:rsidRPr="00E131B9" w:rsidRDefault="00DD7965" w:rsidP="003A2942">
            <w:pPr>
              <w:rPr>
                <w:rFonts w:ascii="Arial" w:hAnsi="Arial" w:cs="Arial"/>
              </w:rPr>
            </w:pPr>
          </w:p>
          <w:p w14:paraId="41D3D31C" w14:textId="77777777" w:rsidR="00DD7965" w:rsidRPr="00E131B9" w:rsidRDefault="00DD7965" w:rsidP="003A2942">
            <w:pPr>
              <w:rPr>
                <w:rFonts w:ascii="Arial" w:hAnsi="Arial" w:cs="Arial"/>
                <w:b/>
              </w:rPr>
            </w:pPr>
            <w:r w:rsidRPr="00E131B9">
              <w:rPr>
                <w:rFonts w:ascii="Arial" w:hAnsi="Arial" w:cs="Arial"/>
                <w:b/>
              </w:rPr>
              <w:t>Scaling</w:t>
            </w:r>
          </w:p>
          <w:p w14:paraId="7656A6A5" w14:textId="77777777" w:rsidR="00365F0C" w:rsidRPr="00E131B9" w:rsidRDefault="00FB56E7" w:rsidP="003A2942">
            <w:pPr>
              <w:rPr>
                <w:rFonts w:ascii="Arial" w:hAnsi="Arial" w:cs="Arial"/>
              </w:rPr>
            </w:pPr>
            <w:r w:rsidRPr="00E131B9">
              <w:rPr>
                <w:rFonts w:ascii="Arial" w:hAnsi="Arial" w:cs="Arial"/>
              </w:rPr>
              <w:t>Not applicable for wide dispersive uses.</w:t>
            </w:r>
          </w:p>
          <w:p w14:paraId="75440119" w14:textId="77777777" w:rsidR="00FB56E7" w:rsidRPr="00E131B9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71054125" w14:textId="77777777" w:rsidR="004F2784" w:rsidRDefault="004F2784" w:rsidP="00986421">
      <w:pPr>
        <w:sectPr w:rsidR="004F2784" w:rsidSect="00E131B9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1A12305" w14:textId="77777777" w:rsidR="004F2784" w:rsidRDefault="004F2784" w:rsidP="004F2784">
      <w:pPr>
        <w:pStyle w:val="Kop3"/>
      </w:pPr>
      <w:r w:rsidRPr="00136A25">
        <w:lastRenderedPageBreak/>
        <w:t xml:space="preserve">ESVOC </w:t>
      </w:r>
      <w:r>
        <w:t>9.13.b-c</w:t>
      </w:r>
      <w:r w:rsidRPr="00136A25">
        <w:t>.v1</w:t>
      </w:r>
    </w:p>
    <w:p w14:paraId="4DC97D50" w14:textId="77777777" w:rsidR="004F2784" w:rsidRPr="00FC3052" w:rsidRDefault="004F2784" w:rsidP="004F2784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4F2784" w:rsidRPr="00257D9B" w14:paraId="229E47B9" w14:textId="77777777" w:rsidTr="004F2784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5D941B3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ABA4F7D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88831A0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BE477FB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6DB9C25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202079D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2EAF983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B72EA96" w14:textId="77777777" w:rsidR="004F2784" w:rsidRPr="00257D9B" w:rsidRDefault="004F2784" w:rsidP="004F27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4F2784" w:rsidRPr="00257D9B" w14:paraId="7317361F" w14:textId="77777777" w:rsidTr="004F2784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3245C5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B6DEE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A53BB8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F0F036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E3C36CF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F9251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D1594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E194D4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4F2784" w:rsidRPr="00257D9B" w14:paraId="156076B7" w14:textId="77777777" w:rsidTr="004F2784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842A70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CE92C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86A18B2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9424B17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4796D0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15ACA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4DE2F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BC9302" w14:textId="77777777" w:rsidR="004F2784" w:rsidRPr="00257D9B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</w:tr>
      <w:tr w:rsidR="004F2784" w:rsidRPr="00257D9B" w14:paraId="0CD43276" w14:textId="77777777" w:rsidTr="004F2784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B70CCB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729811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C40B997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1CA19C" w14:textId="77777777" w:rsidR="004F2784" w:rsidRPr="00257D9B" w:rsidRDefault="004F2784" w:rsidP="004F278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70A9A6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92631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AD3F4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9233A6" w14:textId="77777777" w:rsidR="004F2784" w:rsidRPr="00257D9B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</w:tr>
      <w:tr w:rsidR="004F2784" w:rsidRPr="00257D9B" w14:paraId="5C63B4B6" w14:textId="77777777" w:rsidTr="004F2784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A09376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5F15C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490194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BCE7C96" w14:textId="77777777" w:rsidR="004F2784" w:rsidRPr="00B47C3C" w:rsidRDefault="004F2784" w:rsidP="004F278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8E4D99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3CEE1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487F3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C032A6" w14:textId="77777777" w:rsidR="004F2784" w:rsidRPr="00257D9B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</w:tr>
      <w:tr w:rsidR="004F2784" w:rsidRPr="00257D9B" w14:paraId="163519CF" w14:textId="77777777" w:rsidTr="004F2784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18A2F9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12A22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2A47F9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A17EB54" w14:textId="77777777" w:rsidR="004F2784" w:rsidRPr="00257D9B" w:rsidRDefault="004F2784" w:rsidP="004F278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ABE77C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C3E17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BB1E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8541AB" w14:textId="77777777" w:rsidR="004F2784" w:rsidRPr="00257D9B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</w:tr>
      <w:tr w:rsidR="004F2784" w:rsidRPr="00257D9B" w14:paraId="595EF4DB" w14:textId="77777777" w:rsidTr="004F2784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2BE821" w14:textId="77777777" w:rsidR="004F2784" w:rsidRPr="007A2CB2" w:rsidRDefault="004F2784" w:rsidP="004F278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4E9DE" w14:textId="77777777" w:rsidR="004F2784" w:rsidRPr="007A2CB2" w:rsidRDefault="004F2784" w:rsidP="004F278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3CC61C" w14:textId="77777777" w:rsidR="004F2784" w:rsidRPr="007A2CB2" w:rsidRDefault="004F2784" w:rsidP="004F278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388FF8F" w14:textId="77777777" w:rsidR="004F2784" w:rsidRPr="00257D9B" w:rsidRDefault="004F2784" w:rsidP="004F278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C0CD31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AC24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4A4AB" w14:textId="77777777" w:rsidR="004F2784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1DE175" w14:textId="77777777" w:rsidR="004F2784" w:rsidRPr="00257D9B" w:rsidRDefault="004F2784" w:rsidP="004F278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AE46DF8" w14:textId="77777777" w:rsidR="004F2784" w:rsidRDefault="004F2784" w:rsidP="004F2784">
      <w:pPr>
        <w:pStyle w:val="Kop3"/>
        <w:rPr>
          <w:i/>
          <w:iCs/>
          <w:sz w:val="24"/>
          <w:szCs w:val="24"/>
        </w:rPr>
      </w:pPr>
    </w:p>
    <w:p w14:paraId="185B98F7" w14:textId="77777777" w:rsidR="00E538BF" w:rsidRPr="001E2C65" w:rsidRDefault="00E538BF" w:rsidP="00986421"/>
    <w:sectPr w:rsidR="00E538BF" w:rsidRPr="001E2C65" w:rsidSect="004F278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E83A" w14:textId="77777777" w:rsidR="004F2784" w:rsidRDefault="004F2784">
      <w:r>
        <w:separator/>
      </w:r>
    </w:p>
  </w:endnote>
  <w:endnote w:type="continuationSeparator" w:id="0">
    <w:p w14:paraId="5325E0F5" w14:textId="77777777" w:rsidR="004F2784" w:rsidRDefault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24F8" w14:textId="77777777" w:rsidR="004F2784" w:rsidRDefault="004F2784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CD78E2">
      <w:rPr>
        <w:noProof/>
      </w:rPr>
      <w:t>4</w:t>
    </w:r>
    <w:r>
      <w:rPr>
        <w:noProof/>
      </w:rPr>
      <w:fldChar w:fldCharType="end"/>
    </w:r>
  </w:p>
  <w:p w14:paraId="7EB0DBD6" w14:textId="77777777" w:rsidR="004F2784" w:rsidRDefault="004F278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7F55B" w14:textId="77777777" w:rsidR="004F2784" w:rsidRDefault="004F2784">
      <w:r>
        <w:separator/>
      </w:r>
    </w:p>
  </w:footnote>
  <w:footnote w:type="continuationSeparator" w:id="0">
    <w:p w14:paraId="40C26986" w14:textId="77777777" w:rsidR="004F2784" w:rsidRDefault="004F2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D862" w14:textId="77777777" w:rsidR="004F2784" w:rsidRPr="00E131B9" w:rsidRDefault="004F2784" w:rsidP="00E131B9">
    <w:pPr>
      <w:pStyle w:val="Koptekst"/>
      <w:rPr>
        <w:b/>
      </w:rPr>
    </w:pPr>
    <w:r w:rsidRPr="00E131B9">
      <w:rPr>
        <w:b/>
      </w:rPr>
      <w:t xml:space="preserve">SPERC factsheet – </w:t>
    </w:r>
    <w:r w:rsidRPr="00E131B9">
      <w:rPr>
        <w:b/>
        <w:i/>
      </w:rPr>
      <w:t>Functional Fluids – Wide dispersive use (Solvent-borne)</w:t>
    </w:r>
  </w:p>
  <w:p w14:paraId="4014F00F" w14:textId="77777777" w:rsidR="004F2784" w:rsidRDefault="004F27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11C1"/>
    <w:rsid w:val="00001DC1"/>
    <w:rsid w:val="0000204F"/>
    <w:rsid w:val="0000322F"/>
    <w:rsid w:val="0000463C"/>
    <w:rsid w:val="0002502B"/>
    <w:rsid w:val="00027430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A6465"/>
    <w:rsid w:val="001C2B35"/>
    <w:rsid w:val="001C2C95"/>
    <w:rsid w:val="001D103D"/>
    <w:rsid w:val="001D2990"/>
    <w:rsid w:val="001D3E91"/>
    <w:rsid w:val="001E1F61"/>
    <w:rsid w:val="001E2C65"/>
    <w:rsid w:val="001E65AF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7FE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214A1"/>
    <w:rsid w:val="00351271"/>
    <w:rsid w:val="00365F0C"/>
    <w:rsid w:val="0038169C"/>
    <w:rsid w:val="003A243A"/>
    <w:rsid w:val="003A2942"/>
    <w:rsid w:val="003A350C"/>
    <w:rsid w:val="003A48FE"/>
    <w:rsid w:val="003B048A"/>
    <w:rsid w:val="003B76A8"/>
    <w:rsid w:val="003C1546"/>
    <w:rsid w:val="003D102D"/>
    <w:rsid w:val="003D5856"/>
    <w:rsid w:val="003E2A72"/>
    <w:rsid w:val="003E473B"/>
    <w:rsid w:val="003E6A3F"/>
    <w:rsid w:val="003F35BD"/>
    <w:rsid w:val="00403F82"/>
    <w:rsid w:val="00417A6E"/>
    <w:rsid w:val="0042298E"/>
    <w:rsid w:val="004233F9"/>
    <w:rsid w:val="004347B2"/>
    <w:rsid w:val="00451B37"/>
    <w:rsid w:val="004579A3"/>
    <w:rsid w:val="004620DD"/>
    <w:rsid w:val="0046753E"/>
    <w:rsid w:val="00485FE2"/>
    <w:rsid w:val="004A2A1C"/>
    <w:rsid w:val="004A3E93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4F2784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55DFD"/>
    <w:rsid w:val="00661B3A"/>
    <w:rsid w:val="00662048"/>
    <w:rsid w:val="0067341F"/>
    <w:rsid w:val="0067541B"/>
    <w:rsid w:val="006766B5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0C56"/>
    <w:rsid w:val="006C1158"/>
    <w:rsid w:val="006D30D0"/>
    <w:rsid w:val="00720BC1"/>
    <w:rsid w:val="007218FC"/>
    <w:rsid w:val="00722AF0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B15CF"/>
    <w:rsid w:val="007C1ABA"/>
    <w:rsid w:val="007C3A54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979DB"/>
    <w:rsid w:val="008B2B12"/>
    <w:rsid w:val="008C1C3D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26E7F"/>
    <w:rsid w:val="009341BB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D522A"/>
    <w:rsid w:val="009E19C7"/>
    <w:rsid w:val="009E2E92"/>
    <w:rsid w:val="00A06CF8"/>
    <w:rsid w:val="00A1478B"/>
    <w:rsid w:val="00A220F5"/>
    <w:rsid w:val="00A25655"/>
    <w:rsid w:val="00A357F1"/>
    <w:rsid w:val="00A402AF"/>
    <w:rsid w:val="00A42256"/>
    <w:rsid w:val="00A51978"/>
    <w:rsid w:val="00A5769F"/>
    <w:rsid w:val="00A700AB"/>
    <w:rsid w:val="00A82DAF"/>
    <w:rsid w:val="00A854DF"/>
    <w:rsid w:val="00A90E70"/>
    <w:rsid w:val="00A964D7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5E44"/>
    <w:rsid w:val="00AF4CDC"/>
    <w:rsid w:val="00B0445A"/>
    <w:rsid w:val="00B2198E"/>
    <w:rsid w:val="00B24D62"/>
    <w:rsid w:val="00B27610"/>
    <w:rsid w:val="00B3128B"/>
    <w:rsid w:val="00B4486B"/>
    <w:rsid w:val="00B46885"/>
    <w:rsid w:val="00B46890"/>
    <w:rsid w:val="00B51995"/>
    <w:rsid w:val="00B649EB"/>
    <w:rsid w:val="00B70391"/>
    <w:rsid w:val="00BA6728"/>
    <w:rsid w:val="00BC3C38"/>
    <w:rsid w:val="00BE6F9D"/>
    <w:rsid w:val="00C0451B"/>
    <w:rsid w:val="00C048C9"/>
    <w:rsid w:val="00C16C18"/>
    <w:rsid w:val="00C16DB8"/>
    <w:rsid w:val="00C209C9"/>
    <w:rsid w:val="00C23DBA"/>
    <w:rsid w:val="00C263BA"/>
    <w:rsid w:val="00C26AF7"/>
    <w:rsid w:val="00C36760"/>
    <w:rsid w:val="00C57B56"/>
    <w:rsid w:val="00C71575"/>
    <w:rsid w:val="00C724DD"/>
    <w:rsid w:val="00C73E8D"/>
    <w:rsid w:val="00CD157B"/>
    <w:rsid w:val="00CD2556"/>
    <w:rsid w:val="00CD4236"/>
    <w:rsid w:val="00CD4686"/>
    <w:rsid w:val="00CD515B"/>
    <w:rsid w:val="00CD78E2"/>
    <w:rsid w:val="00CE0795"/>
    <w:rsid w:val="00CE32BC"/>
    <w:rsid w:val="00CE4237"/>
    <w:rsid w:val="00CF2C4D"/>
    <w:rsid w:val="00CF4EF5"/>
    <w:rsid w:val="00CF797E"/>
    <w:rsid w:val="00D01C63"/>
    <w:rsid w:val="00D10CA3"/>
    <w:rsid w:val="00D208A7"/>
    <w:rsid w:val="00D25420"/>
    <w:rsid w:val="00D43682"/>
    <w:rsid w:val="00D67294"/>
    <w:rsid w:val="00D718B8"/>
    <w:rsid w:val="00D71E54"/>
    <w:rsid w:val="00D8290D"/>
    <w:rsid w:val="00DB35E8"/>
    <w:rsid w:val="00DC23BD"/>
    <w:rsid w:val="00DD7965"/>
    <w:rsid w:val="00DE0B67"/>
    <w:rsid w:val="00DE4F7E"/>
    <w:rsid w:val="00DF2446"/>
    <w:rsid w:val="00E05637"/>
    <w:rsid w:val="00E063F3"/>
    <w:rsid w:val="00E068FF"/>
    <w:rsid w:val="00E131B9"/>
    <w:rsid w:val="00E21D25"/>
    <w:rsid w:val="00E23746"/>
    <w:rsid w:val="00E346BB"/>
    <w:rsid w:val="00E51E28"/>
    <w:rsid w:val="00E538BF"/>
    <w:rsid w:val="00E56C32"/>
    <w:rsid w:val="00E5705E"/>
    <w:rsid w:val="00E6120F"/>
    <w:rsid w:val="00E6589B"/>
    <w:rsid w:val="00E73D19"/>
    <w:rsid w:val="00E81799"/>
    <w:rsid w:val="00E81F3A"/>
    <w:rsid w:val="00E91464"/>
    <w:rsid w:val="00EA699B"/>
    <w:rsid w:val="00EB12E9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62F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E6A3F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4F2784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E131B9"/>
    <w:rPr>
      <w:sz w:val="24"/>
      <w:szCs w:val="24"/>
    </w:rPr>
  </w:style>
  <w:style w:type="character" w:styleId="Hyperlink">
    <w:name w:val="Hyperlink"/>
    <w:basedOn w:val="Standaardalinea-lettertype"/>
    <w:rsid w:val="008C1C3D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4F2784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2012-03-12T21:38:00Z</dcterms:created>
  <dcterms:modified xsi:type="dcterms:W3CDTF">2013-02-11T08:29:00Z</dcterms:modified>
</cp:coreProperties>
</file>